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2173C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24417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D644D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Сергиевск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67C1C" w:rsidRDefault="0024417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2B53D4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2B53D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февраля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149B5" w:rsidRPr="00767C1C" w:rsidRDefault="00A149B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2B53D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499D" w:rsidP="00D644DC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244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64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F127DA" w:rsidRPr="00F1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644DC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644DC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644DC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9BB" w:rsidRDefault="00982356" w:rsidP="00BA7EF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FE66CA" w:rsidRPr="00FE66CA">
        <w:rPr>
          <w:rFonts w:ascii="Times New Roman" w:hAnsi="Times New Roman" w:cs="Times New Roman"/>
          <w:sz w:val="28"/>
          <w:szCs w:val="28"/>
        </w:rPr>
        <w:t xml:space="preserve"> 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644DC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EF4">
        <w:rPr>
          <w:rFonts w:ascii="Times New Roman" w:hAnsi="Times New Roman" w:cs="Times New Roman"/>
          <w:sz w:val="28"/>
          <w:szCs w:val="28"/>
        </w:rPr>
        <w:t>2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EF4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EF4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A129BB" w:rsidRDefault="00A129B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BA7EF4" w:rsidRDefault="006A32E4" w:rsidP="00BA7EF4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A7EF4" w:rsidRPr="00BA7EF4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</w:p>
    <w:p w:rsidR="00EB58DA" w:rsidRPr="00BA7EF4" w:rsidRDefault="00BA7EF4" w:rsidP="00BA7EF4">
      <w:pPr>
        <w:pStyle w:val="a4"/>
        <w:tabs>
          <w:tab w:val="left" w:pos="8325"/>
        </w:tabs>
        <w:ind w:left="567" w:hanging="567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A32E4" w:rsidRPr="00BA7EF4"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 w:rsidRPr="00BA7EF4">
        <w:rPr>
          <w:rFonts w:ascii="Times New Roman" w:hAnsi="Times New Roman" w:cs="Times New Roman"/>
          <w:sz w:val="28"/>
          <w:szCs w:val="28"/>
        </w:rPr>
        <w:t xml:space="preserve">   </w:t>
      </w:r>
      <w:r w:rsidR="006A32E4" w:rsidRPr="00BA7EF4">
        <w:rPr>
          <w:rFonts w:ascii="Times New Roman" w:hAnsi="Times New Roman" w:cs="Times New Roman"/>
          <w:sz w:val="28"/>
          <w:szCs w:val="28"/>
        </w:rPr>
        <w:t xml:space="preserve">  </w:t>
      </w:r>
      <w:r w:rsidR="00EB58DA" w:rsidRPr="00BA7EF4">
        <w:rPr>
          <w:rFonts w:ascii="Times New Roman" w:hAnsi="Times New Roman" w:cs="Times New Roman"/>
          <w:sz w:val="28"/>
          <w:szCs w:val="28"/>
        </w:rPr>
        <w:t xml:space="preserve">   </w:t>
      </w:r>
      <w:r w:rsidR="009B4035" w:rsidRPr="00BA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  <w:r w:rsidR="009B4035" w:rsidRPr="00BA7E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A32E4" w:rsidRPr="00BA7EF4">
        <w:rPr>
          <w:rFonts w:ascii="Times New Roman" w:hAnsi="Times New Roman" w:cs="Times New Roman"/>
          <w:sz w:val="28"/>
          <w:szCs w:val="28"/>
        </w:rPr>
        <w:t xml:space="preserve">    </w:t>
      </w:r>
      <w:r w:rsidR="00940513" w:rsidRPr="00BA7EF4">
        <w:rPr>
          <w:rFonts w:ascii="Times New Roman" w:hAnsi="Times New Roman" w:cs="Times New Roman"/>
          <w:sz w:val="28"/>
          <w:szCs w:val="28"/>
        </w:rPr>
        <w:t xml:space="preserve"> </w:t>
      </w:r>
      <w:r w:rsidR="006A32E4" w:rsidRPr="00BA7EF4">
        <w:rPr>
          <w:rFonts w:ascii="Times New Roman" w:hAnsi="Times New Roman" w:cs="Times New Roman"/>
          <w:sz w:val="28"/>
          <w:szCs w:val="28"/>
        </w:rPr>
        <w:t xml:space="preserve">    </w:t>
      </w:r>
      <w:r w:rsidR="00940513" w:rsidRPr="00BA7E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Pr="00BA7EF4" w:rsidRDefault="004E40E7" w:rsidP="00BA7EF4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BA7EF4">
        <w:rPr>
          <w:rFonts w:ascii="Times New Roman" w:eastAsia="Calibri" w:hAnsi="Times New Roman" w:cs="Times New Roman"/>
          <w:sz w:val="20"/>
          <w:szCs w:val="20"/>
        </w:rPr>
        <w:t>Сергиевск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E30AD0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№9 от </w:t>
      </w:r>
      <w:r w:rsidR="000C6EEC" w:rsidRPr="00601978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07</w:t>
      </w:r>
      <w:r w:rsidR="000C6EEC" w:rsidRPr="0060197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="000C6EEC" w:rsidRPr="00601978">
        <w:rPr>
          <w:rFonts w:ascii="Times New Roman" w:hAnsi="Times New Roman" w:cs="Times New Roman"/>
          <w:sz w:val="20"/>
          <w:szCs w:val="20"/>
        </w:rPr>
        <w:t>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C1934" w:rsidRPr="007C193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BA7EF4">
        <w:rPr>
          <w:rFonts w:ascii="Times New Roman" w:eastAsia="Calibri" w:hAnsi="Times New Roman" w:cs="Times New Roman"/>
          <w:b/>
          <w:sz w:val="28"/>
          <w:szCs w:val="28"/>
        </w:rPr>
        <w:t xml:space="preserve">Сергиевск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A7EF4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A7EF4">
        <w:rPr>
          <w:rFonts w:ascii="Times New Roman" w:eastAsia="Calibri" w:hAnsi="Times New Roman" w:cs="Times New Roman"/>
          <w:sz w:val="28"/>
          <w:szCs w:val="28"/>
        </w:rPr>
        <w:t xml:space="preserve"> Сергиевск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  <w:proofErr w:type="gramEnd"/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1D4FB6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09D3"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2F31D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  <w:proofErr w:type="gramEnd"/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 xml:space="preserve">разрабатываются на период от одного </w:t>
      </w:r>
      <w:proofErr w:type="gramStart"/>
      <w:r w:rsidR="00A129B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A129BB">
        <w:rPr>
          <w:rFonts w:ascii="Times New Roman" w:hAnsi="Times New Roman" w:cs="Times New Roman"/>
          <w:sz w:val="28"/>
          <w:szCs w:val="28"/>
        </w:rPr>
        <w:t xml:space="preserve">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 xml:space="preserve"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</w:t>
      </w:r>
      <w:proofErr w:type="gramStart"/>
      <w:r w:rsidRPr="00F4387D">
        <w:rPr>
          <w:rFonts w:ascii="Times New Roman" w:hAnsi="Times New Roman" w:cs="Times New Roman"/>
          <w:sz w:val="28"/>
          <w:szCs w:val="28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  <w:proofErr w:type="gramEnd"/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  <w:r w:rsidR="000B2F9A" w:rsidRPr="000B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359F" w:rsidRPr="0026359F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BF5123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261A99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B90270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  <w:proofErr w:type="gramEnd"/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BA7EF4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 w:rsidRPr="00BA7EF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A6BE9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9773F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течени</w:t>
      </w:r>
      <w:proofErr w:type="gramStart"/>
      <w:r w:rsidR="00E9773F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A6BE9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и направляет</w:t>
      </w:r>
      <w:r w:rsidR="001A6BE9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разработчику</w:t>
      </w:r>
      <w:r w:rsidR="00901A5F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инициативного предложения</w:t>
      </w:r>
      <w:r w:rsidR="0097783A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303A" w:rsidRPr="00BA7EF4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а) экономическое заключение исходя из следующих критериев:</w:t>
      </w:r>
    </w:p>
    <w:p w:rsidR="004F09D3" w:rsidRPr="00BA7EF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подготовке</w:t>
      </w:r>
      <w:r w:rsidRPr="00BA7EF4">
        <w:rPr>
          <w:rFonts w:ascii="Times New Roman" w:hAnsi="Times New Roman" w:cs="Times New Roman"/>
          <w:sz w:val="28"/>
          <w:szCs w:val="28"/>
        </w:rPr>
        <w:t xml:space="preserve"> </w:t>
      </w:r>
      <w:r w:rsidRPr="00BA7EF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по стратегическим направлениям развития </w:t>
      </w:r>
      <w:r w:rsidR="00901A5F" w:rsidRPr="00BA7E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EF4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BA7EF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A7EF4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BA7EF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A7EF4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BA7EF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7EF4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BA7EF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A7EF4">
        <w:rPr>
          <w:rFonts w:ascii="Times New Roman" w:hAnsi="Times New Roman" w:cs="Times New Roman"/>
          <w:sz w:val="28"/>
          <w:szCs w:val="28"/>
        </w:rPr>
        <w:t>оценка достижения показателей (индикаторов) муниципальной программы</w:t>
      </w:r>
      <w:r w:rsidR="00E1303A" w:rsidRPr="00BA7EF4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A7EF4">
        <w:rPr>
          <w:rFonts w:ascii="Times New Roman" w:hAnsi="Times New Roman" w:cs="Times New Roman"/>
          <w:sz w:val="28"/>
          <w:szCs w:val="28"/>
        </w:rPr>
        <w:t>2.6. Специалисты Администрации в течени</w:t>
      </w:r>
      <w:proofErr w:type="gramStart"/>
      <w:r w:rsidRPr="00BA7E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7EF4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6132BD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1A5F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713">
        <w:rPr>
          <w:rFonts w:ascii="Times New Roman" w:hAnsi="Times New Roman" w:cs="Times New Roman"/>
          <w:sz w:val="28"/>
          <w:szCs w:val="28"/>
        </w:rPr>
        <w:t xml:space="preserve"> 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Pr="00BA7EF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4713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тветственный исполнитель </w:t>
      </w:r>
      <w:r w:rsidR="002F5494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2F5494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2F5494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</w:t>
      </w:r>
      <w:r w:rsidR="002F5494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</w:t>
      </w:r>
      <w:r w:rsidR="002F5494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5723B" w:rsidRPr="00BA7E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</w:r>
      <w:r w:rsidR="00514993">
        <w:rPr>
          <w:rFonts w:ascii="Times New Roman" w:hAnsi="Times New Roman" w:cs="Times New Roman"/>
          <w:sz w:val="28"/>
          <w:szCs w:val="28"/>
        </w:rPr>
        <w:t xml:space="preserve">     </w:t>
      </w:r>
      <w:r w:rsidR="00BC1C22">
        <w:rPr>
          <w:rFonts w:ascii="Times New Roman" w:hAnsi="Times New Roman" w:cs="Times New Roman"/>
          <w:sz w:val="28"/>
          <w:szCs w:val="28"/>
        </w:rPr>
        <w:t xml:space="preserve">   </w:t>
      </w:r>
      <w:r w:rsidRPr="004F09D3">
        <w:rPr>
          <w:rFonts w:ascii="Times New Roman" w:hAnsi="Times New Roman" w:cs="Times New Roman"/>
          <w:sz w:val="28"/>
          <w:szCs w:val="28"/>
        </w:rPr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1C7BA6" w:rsidRPr="001C7BA6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1C7BA6">
        <w:rPr>
          <w:rFonts w:ascii="Times New Roman" w:hAnsi="Times New Roman" w:cs="Times New Roman"/>
          <w:sz w:val="28"/>
          <w:szCs w:val="28"/>
        </w:rPr>
        <w:t>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167AF7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4E40E7" w:rsidRPr="004E40E7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В структуре муниципальной программы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экономичность (получение отчетных данных должно проводиться с минимально возможными затратами, применяемые показатели должны в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9)</w:t>
      </w:r>
      <w:r w:rsidRPr="004B4410">
        <w:t xml:space="preserve"> </w:t>
      </w:r>
      <w:r w:rsidRPr="004B4410"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  <w:proofErr w:type="gramEnd"/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 xml:space="preserve">6. Управление и </w:t>
      </w:r>
      <w:proofErr w:type="gramStart"/>
      <w:r w:rsidRPr="004D593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>6.2. Годовой отчет составляется по форме в соответствии с приложением</w:t>
      </w:r>
      <w:r w:rsidRPr="0091764E">
        <w:rPr>
          <w:rFonts w:ascii="Times New Roman" w:hAnsi="Times New Roman" w:cs="Times New Roman"/>
          <w:sz w:val="28"/>
          <w:szCs w:val="28"/>
        </w:rPr>
        <w:t xml:space="preserve"> 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  <w:r w:rsidR="001C161F" w:rsidRPr="001C1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Pr="002F6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3B7596" w:rsidRPr="00E4094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Pr="00D23157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79C8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  <w:proofErr w:type="gramEnd"/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</w:t>
      </w:r>
      <w:proofErr w:type="gramStart"/>
      <w:r w:rsidR="00EE3A60">
        <w:rPr>
          <w:rFonts w:ascii="Times New Roman" w:hAnsi="Times New Roman" w:cs="Times New Roman"/>
          <w:sz w:val="28"/>
          <w:szCs w:val="28"/>
        </w:rPr>
        <w:t>включая комплексную оценку эффективности реализации муниципальной программы осуществляется</w:t>
      </w:r>
      <w:r w:rsidR="00B15A93" w:rsidRPr="00B15A93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</w:t>
      </w:r>
      <w:proofErr w:type="gramEnd"/>
      <w:r w:rsidR="00B15A93" w:rsidRPr="004F09D3">
        <w:rPr>
          <w:rFonts w:ascii="Times New Roman" w:hAnsi="Times New Roman" w:cs="Times New Roman"/>
          <w:sz w:val="28"/>
          <w:szCs w:val="28"/>
        </w:rPr>
        <w:t xml:space="preserve">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B15A93"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  <w:proofErr w:type="gramEnd"/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sectPr w:rsidR="004F09D3" w:rsidRPr="004F09D3" w:rsidSect="004E40E7"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4F" w:rsidRDefault="00505F4F" w:rsidP="00676222">
      <w:pPr>
        <w:spacing w:after="0"/>
      </w:pPr>
      <w:r>
        <w:separator/>
      </w:r>
    </w:p>
  </w:endnote>
  <w:endnote w:type="continuationSeparator" w:id="0">
    <w:p w:rsidR="00505F4F" w:rsidRDefault="00505F4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4F" w:rsidRDefault="00505F4F" w:rsidP="00676222">
      <w:pPr>
        <w:spacing w:after="0"/>
      </w:pPr>
      <w:r>
        <w:separator/>
      </w:r>
    </w:p>
  </w:footnote>
  <w:footnote w:type="continuationSeparator" w:id="0">
    <w:p w:rsidR="00505F4F" w:rsidRDefault="00505F4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3D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05F4F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48E3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5EFC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73C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A7EF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44DC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0AD0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99AA-81BE-4420-BFDD-801D874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41</cp:revision>
  <cp:lastPrinted>2020-02-07T07:40:00Z</cp:lastPrinted>
  <dcterms:created xsi:type="dcterms:W3CDTF">2019-09-27T06:19:00Z</dcterms:created>
  <dcterms:modified xsi:type="dcterms:W3CDTF">2020-02-07T07:40:00Z</dcterms:modified>
</cp:coreProperties>
</file>